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形容眼中敌人的是什么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智慧与勇气始终是战争胜负的关键。而了解敌人，正是取得胜利的重要一环。只有在深入分析敌人的背景、策略与心理之后，才能在竞争中立于不败之地。古语有云：“知己知彼，百战不殆。”这句话提醒我们，眼中敌人的真正含义，往往是指对敌人的全面理解和深入剖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敌人的背景与动机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敌人的背景与动机，是理解敌人最重要的第一步。每一个敌人都有自己的历史、文化和价值观。这些因素不仅塑造了他们的行为方式，也决定了他们在特定情况下的反应。例如，一个国家在国际舞台上的敌对态度，往往源于其历史遗留的恩怨与资源的竞争。因此，研究敌人的背景能够帮助我们预测其可能的行动和策略，从而为应对提供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敌人的策略与战术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敌人的背景，我们还需要分析其策略与战术。敌人在面对挑战时，通常会采取特定的手段来保护自身利益。比如，某些竞争对手可能会通过不正当手段来削弱我们的优势。了解这些策略，能够让我们提前做好防范措施，并在关键时刻采取有效的反制措施。无论是在商战还是政治斗争中，敌人的策略变化都是我们必须密切关注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敌人的心理与情感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的心理和情感状态同样不可忽视。每个敌人都可能受到恐惧、贪婪或其他情感的驱动，而这些情感往往会影响他们的决策。例如，在某些情况下，敌人可能因自信而过于冒进，也可能因恐惧而选择退缩。通过观察和分析敌人的心理动态，我们可以找到破绽，从而加以利用，实现战术上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敌人不仅仅是对其表面行为的观察，更是对其内在动机、策略与心理的深度挖掘。在这个过程中，我们不仅要善于倾听与观察，更要运用科学的分析方法，将这些信息整合，从而形成全面的认知。只有这样，我们才能在面对敌人时，拥有更加清晰的战略方向与应对方案。正如一句古老的军事格言所说：“战斗胜负，成败在此一举。”了解敌人，将是我们在竞争中赢得胜利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