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惊艳瞬间古风句子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韵味和优雅的表达方式，深深吸引了众多爱好者。这些句子常以古代诗词为根基，通过精妙的文字和丰富的意象，展现了古代文化的风采。在这些古风句子中，常能感受到那种如水般清澈、如画般美丽的艺术魅力，它们宛如画卷中的一抹清风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句子往往展现出一种独特的风范和气魄。这些句子不仅在语言上表现出豪迈之气，还通过强烈的个性和不凡的气度，留下深刻的印象。例如，“青云直上，何惭无名之士；万里鹏程，岂羡书生之弱”。这样的句子充满了自信与豪情，仿佛将古代英雄豪杰的风采一一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古风句子则更注重表达一种轻松自然的气质。这类句子常常让人感受到一种洒脱与自在的风范，如“江湖夜雨十年灯，浊酒一杯，何必太悲情”。这句古风句子以其简单而不失优雅的表述，展现出一种豁达洒脱的气度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古风句子的运用与影响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在文学作品中显现，它们也常被运用于现代的社交媒体和各种创作中。这些句子通过现代的传播方式，将古典之美融入当代生活，使更多人能够感受到古风的独特魅力。无论是在诗词创作，还是在个人表达中，这些古风句子都能带来一种意境深远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