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C43AF" w14:textId="77777777" w:rsidR="001A06C4" w:rsidRDefault="001A06C4">
      <w:pPr>
        <w:rPr>
          <w:rFonts w:hint="eastAsia"/>
        </w:rPr>
      </w:pPr>
      <w:r>
        <w:rPr>
          <w:rFonts w:hint="eastAsia"/>
        </w:rPr>
        <w:t>如痴的拼音</w:t>
      </w:r>
    </w:p>
    <w:p w14:paraId="18ADA94E" w14:textId="77777777" w:rsidR="001A06C4" w:rsidRDefault="001A06C4">
      <w:pPr>
        <w:rPr>
          <w:rFonts w:hint="eastAsia"/>
        </w:rPr>
      </w:pPr>
      <w:r>
        <w:rPr>
          <w:rFonts w:hint="eastAsia"/>
        </w:rPr>
        <w:t>如痴，这个词汇在汉语中用来形容人处于一种痴迷、专注甚至有些入神的状态。其拼音为“rú chī”。其中，“如”读作“rú”，第二声，表示相似或如同的意思；而“痴”则是“chī”，第一声，通常指的是智力发展迟缓或者对某事物过于沉迷的状态。当这两个字组合在一起时，便形成了一个生动形象的词语，用以描述那些因为极度热爱或专注于某事而达到忘我境界的人。</w:t>
      </w:r>
    </w:p>
    <w:p w14:paraId="42F1D608" w14:textId="77777777" w:rsidR="001A06C4" w:rsidRDefault="001A06C4">
      <w:pPr>
        <w:rPr>
          <w:rFonts w:hint="eastAsia"/>
        </w:rPr>
      </w:pPr>
    </w:p>
    <w:p w14:paraId="48A601AC" w14:textId="77777777" w:rsidR="001A06C4" w:rsidRDefault="001A06C4">
      <w:pPr>
        <w:rPr>
          <w:rFonts w:hint="eastAsia"/>
        </w:rPr>
      </w:pPr>
      <w:r>
        <w:rPr>
          <w:rFonts w:hint="eastAsia"/>
        </w:rPr>
        <w:t>如痴的背后故事</w:t>
      </w:r>
    </w:p>
    <w:p w14:paraId="57599CEF" w14:textId="77777777" w:rsidR="001A06C4" w:rsidRDefault="001A06C4">
      <w:pPr>
        <w:rPr>
          <w:rFonts w:hint="eastAsia"/>
        </w:rPr>
      </w:pPr>
      <w:r>
        <w:rPr>
          <w:rFonts w:hint="eastAsia"/>
        </w:rPr>
        <w:t>在历史与文学作品中，我们可以找到许多关于“如痴”的例子。比如，古代诗人李白饮酒作诗时的状态，或是书法家王羲之沉浸在书法创作中的情景。这些人之所以能够取得卓越成就，往往与他们“如痴”的状态密切相关。正是这种全身心投入的精神，使得他们在各自的领域内独树一帜，留下了无数传世之作。因此，“如痴”不仅仅是一个描述状态的词汇，它还象征着追求极致和不断超越自我的精神。</w:t>
      </w:r>
    </w:p>
    <w:p w14:paraId="58803371" w14:textId="77777777" w:rsidR="001A06C4" w:rsidRDefault="001A06C4">
      <w:pPr>
        <w:rPr>
          <w:rFonts w:hint="eastAsia"/>
        </w:rPr>
      </w:pPr>
    </w:p>
    <w:p w14:paraId="142CFF65" w14:textId="77777777" w:rsidR="001A06C4" w:rsidRDefault="001A06C4">
      <w:pPr>
        <w:rPr>
          <w:rFonts w:hint="eastAsia"/>
        </w:rPr>
      </w:pPr>
      <w:r>
        <w:rPr>
          <w:rFonts w:hint="eastAsia"/>
        </w:rPr>
        <w:t>现代社会中的“如痴”现象</w:t>
      </w:r>
    </w:p>
    <w:p w14:paraId="0DD5391C" w14:textId="77777777" w:rsidR="001A06C4" w:rsidRDefault="001A06C4">
      <w:pPr>
        <w:rPr>
          <w:rFonts w:hint="eastAsia"/>
        </w:rPr>
      </w:pPr>
      <w:r>
        <w:rPr>
          <w:rFonts w:hint="eastAsia"/>
        </w:rPr>
        <w:t>在当今社会，“如痴”的概念同样适用。无论是科学研究者为了探索未知世界的奥秘夜以继日地工作，还是艺术家们为了捕捉那一瞬间的灵感而不顾一切地创作，都体现了“如痴”的精神。在日常生活中，我们也能看到许多人对自己兴趣爱好的执着追求，例如游戏爱好者、电影迷等群体。这些人都以自己独特的方式诠释着“如痴”的含义，展现了人类对于美好事物不懈追求的一面。</w:t>
      </w:r>
    </w:p>
    <w:p w14:paraId="3FD14EF8" w14:textId="77777777" w:rsidR="001A06C4" w:rsidRDefault="001A06C4">
      <w:pPr>
        <w:rPr>
          <w:rFonts w:hint="eastAsia"/>
        </w:rPr>
      </w:pPr>
    </w:p>
    <w:p w14:paraId="3D694F9C" w14:textId="77777777" w:rsidR="001A06C4" w:rsidRDefault="001A06C4">
      <w:pPr>
        <w:rPr>
          <w:rFonts w:hint="eastAsia"/>
        </w:rPr>
      </w:pPr>
      <w:r>
        <w:rPr>
          <w:rFonts w:hint="eastAsia"/>
        </w:rPr>
        <w:t>如何培养“如痴”的态度</w:t>
      </w:r>
    </w:p>
    <w:p w14:paraId="3CA8D1A3" w14:textId="77777777" w:rsidR="001A06C4" w:rsidRDefault="001A06C4">
      <w:pPr>
        <w:rPr>
          <w:rFonts w:hint="eastAsia"/>
        </w:rPr>
      </w:pPr>
      <w:r>
        <w:rPr>
          <w:rFonts w:hint="eastAsia"/>
        </w:rPr>
        <w:t>想要达到“如痴”的状态并非易事，这需要长期的努力和积累。找到自己真正热爱的事物至关重要。只有当你对某件事情充满热情时，才有可能为之付出所有的时间和精力。保持好奇心也是关键因素之一。持续不断地学习新知识，尝试新方法，可以让你始终保持对所做之事的兴趣。建立良好的时间管理习惯也不可忽视。合理安排时间，既能保证高效完成任务，又能避免过度劳累导致的倦怠感。</w:t>
      </w:r>
    </w:p>
    <w:p w14:paraId="322DAC8F" w14:textId="77777777" w:rsidR="001A06C4" w:rsidRDefault="001A06C4">
      <w:pPr>
        <w:rPr>
          <w:rFonts w:hint="eastAsia"/>
        </w:rPr>
      </w:pPr>
    </w:p>
    <w:p w14:paraId="7FEF8351" w14:textId="77777777" w:rsidR="001A06C4" w:rsidRDefault="001A06C4">
      <w:pPr>
        <w:rPr>
          <w:rFonts w:hint="eastAsia"/>
        </w:rPr>
      </w:pPr>
    </w:p>
    <w:p w14:paraId="6D31403C" w14:textId="77777777" w:rsidR="001A06C4" w:rsidRDefault="001A06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0C8370" w14:textId="32A7DF60" w:rsidR="0097616A" w:rsidRDefault="0097616A"/>
    <w:sectPr w:rsidR="00976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6A"/>
    <w:rsid w:val="001A06C4"/>
    <w:rsid w:val="007574E7"/>
    <w:rsid w:val="0097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8B752-2EF7-49A1-8166-2D6937F2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