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9E0C" w14:textId="77777777" w:rsidR="001B1EDE" w:rsidRDefault="001B1EDE">
      <w:pPr>
        <w:rPr>
          <w:rFonts w:hint="eastAsia"/>
        </w:rPr>
      </w:pPr>
    </w:p>
    <w:p w14:paraId="67F0F13C" w14:textId="77777777" w:rsidR="001B1EDE" w:rsidRDefault="001B1EDE">
      <w:pPr>
        <w:rPr>
          <w:rFonts w:hint="eastAsia"/>
        </w:rPr>
      </w:pPr>
      <w:r>
        <w:rPr>
          <w:rFonts w:hint="eastAsia"/>
        </w:rPr>
        <w:t>催缴的拼音</w:t>
      </w:r>
    </w:p>
    <w:p w14:paraId="01851FF0" w14:textId="77777777" w:rsidR="001B1EDE" w:rsidRDefault="001B1EDE">
      <w:pPr>
        <w:rPr>
          <w:rFonts w:hint="eastAsia"/>
        </w:rPr>
      </w:pPr>
      <w:r>
        <w:rPr>
          <w:rFonts w:hint="eastAsia"/>
        </w:rPr>
        <w:t>催缴，拼音为“cuī jiǎo”，是指在各种经济和社会活动中，当一方未能按时履行支付义务时，另一方采取措施要求对方尽快完成支付的行为。这个术语广泛应用于金融、物业管理、公共服务等多个领域。催缴行为不仅是对契约精神的维护，也是确保交易双方权益的重要手段。</w:t>
      </w:r>
    </w:p>
    <w:p w14:paraId="4D89FAAD" w14:textId="77777777" w:rsidR="001B1EDE" w:rsidRDefault="001B1EDE">
      <w:pPr>
        <w:rPr>
          <w:rFonts w:hint="eastAsia"/>
        </w:rPr>
      </w:pPr>
    </w:p>
    <w:p w14:paraId="7D2F7920" w14:textId="77777777" w:rsidR="001B1EDE" w:rsidRDefault="001B1E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E5627" w14:textId="41628FB2" w:rsidR="005469B4" w:rsidRDefault="005469B4"/>
    <w:sectPr w:rsidR="00546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B4"/>
    <w:rsid w:val="001B1EDE"/>
    <w:rsid w:val="00317C12"/>
    <w:rsid w:val="0054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50CCE-45EC-4FB1-B310-B1B786D0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